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28BB" w:rsidRDefault="0000719F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1E3ADEFF" wp14:editId="5389B20E">
            <wp:simplePos x="0" y="0"/>
            <wp:positionH relativeFrom="column">
              <wp:posOffset>-381000</wp:posOffset>
            </wp:positionH>
            <wp:positionV relativeFrom="paragraph">
              <wp:posOffset>-182245</wp:posOffset>
            </wp:positionV>
            <wp:extent cx="9582150" cy="103060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82150" cy="1030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928BB" w:rsidRDefault="000928BB"/>
    <w:p w:rsidR="0000719F" w:rsidRDefault="0000719F"/>
    <w:p w:rsidR="0000719F" w:rsidRDefault="0000719F"/>
    <w:p w:rsidR="0000719F" w:rsidRPr="000C7A08" w:rsidRDefault="0000719F" w:rsidP="0000719F">
      <w:pPr>
        <w:shd w:val="clear" w:color="auto" w:fill="2E74B5" w:themeFill="accent5" w:themeFillShade="BF"/>
        <w:tabs>
          <w:tab w:val="left" w:pos="1860"/>
        </w:tabs>
        <w:jc w:val="center"/>
        <w:rPr>
          <w:rFonts w:ascii="Arial Narrow" w:hAnsi="Arial Narrow"/>
          <w:b/>
          <w:color w:val="FFFFFF" w:themeColor="background1"/>
          <w:sz w:val="48"/>
          <w:szCs w:val="48"/>
        </w:rPr>
      </w:pPr>
      <w:r w:rsidRPr="000C7A08">
        <w:rPr>
          <w:rFonts w:ascii="Arial Narrow" w:hAnsi="Arial Narrow"/>
          <w:b/>
          <w:color w:val="FFFFFF" w:themeColor="background1"/>
          <w:sz w:val="48"/>
          <w:szCs w:val="48"/>
        </w:rPr>
        <w:t xml:space="preserve">PLAN STRATEGIQUE  </w:t>
      </w:r>
    </w:p>
    <w:p w:rsidR="000928BB" w:rsidRDefault="000928BB"/>
    <w:tbl>
      <w:tblPr>
        <w:tblStyle w:val="Grilledutableau"/>
        <w:tblW w:w="15315" w:type="dxa"/>
        <w:jc w:val="center"/>
        <w:tblLayout w:type="fixed"/>
        <w:tblLook w:val="04A0" w:firstRow="1" w:lastRow="0" w:firstColumn="1" w:lastColumn="0" w:noHBand="0" w:noVBand="1"/>
      </w:tblPr>
      <w:tblGrid>
        <w:gridCol w:w="573"/>
        <w:gridCol w:w="1276"/>
        <w:gridCol w:w="1559"/>
        <w:gridCol w:w="1985"/>
        <w:gridCol w:w="1984"/>
        <w:gridCol w:w="2694"/>
        <w:gridCol w:w="2409"/>
        <w:gridCol w:w="1690"/>
        <w:gridCol w:w="1145"/>
      </w:tblGrid>
      <w:tr w:rsidR="000928BB" w:rsidRPr="0000719F" w:rsidTr="00532F79">
        <w:trPr>
          <w:jc w:val="center"/>
        </w:trPr>
        <w:tc>
          <w:tcPr>
            <w:tcW w:w="573" w:type="dxa"/>
          </w:tcPr>
          <w:p w:rsidR="000928BB" w:rsidRPr="0000719F" w:rsidRDefault="000928BB" w:rsidP="0000719F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00719F">
              <w:rPr>
                <w:rFonts w:cstheme="minorHAnsi"/>
                <w:b/>
              </w:rPr>
              <w:t>N</w:t>
            </w:r>
            <w:r w:rsidRPr="0000719F">
              <w:rPr>
                <w:rFonts w:cstheme="minorHAnsi"/>
                <w:b/>
                <w:vertAlign w:val="superscript"/>
              </w:rPr>
              <w:t>0</w:t>
            </w:r>
          </w:p>
        </w:tc>
        <w:tc>
          <w:tcPr>
            <w:tcW w:w="1276" w:type="dxa"/>
          </w:tcPr>
          <w:p w:rsidR="000928BB" w:rsidRPr="0000719F" w:rsidRDefault="000928BB" w:rsidP="0000719F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00719F">
              <w:rPr>
                <w:rFonts w:cstheme="minorHAnsi"/>
                <w:b/>
              </w:rPr>
              <w:t>Domaine</w:t>
            </w:r>
          </w:p>
        </w:tc>
        <w:tc>
          <w:tcPr>
            <w:tcW w:w="1559" w:type="dxa"/>
          </w:tcPr>
          <w:p w:rsidR="000928BB" w:rsidRPr="0000719F" w:rsidRDefault="000928BB" w:rsidP="0000719F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00719F">
              <w:rPr>
                <w:rFonts w:cstheme="minorHAnsi"/>
                <w:b/>
              </w:rPr>
              <w:t>Composante</w:t>
            </w:r>
          </w:p>
        </w:tc>
        <w:tc>
          <w:tcPr>
            <w:tcW w:w="1985" w:type="dxa"/>
          </w:tcPr>
          <w:p w:rsidR="000928BB" w:rsidRPr="0000719F" w:rsidRDefault="000928BB" w:rsidP="0000719F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00719F">
              <w:rPr>
                <w:rFonts w:cstheme="minorHAnsi"/>
                <w:b/>
              </w:rPr>
              <w:t>Problématiques clés</w:t>
            </w:r>
          </w:p>
        </w:tc>
        <w:tc>
          <w:tcPr>
            <w:tcW w:w="1984" w:type="dxa"/>
          </w:tcPr>
          <w:p w:rsidR="000928BB" w:rsidRPr="0000719F" w:rsidRDefault="000928BB" w:rsidP="0000719F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00719F">
              <w:rPr>
                <w:rFonts w:cstheme="minorHAnsi"/>
                <w:b/>
              </w:rPr>
              <w:t>Objectifs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0928BB" w:rsidRPr="0000719F" w:rsidRDefault="000928BB" w:rsidP="0000719F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00719F">
              <w:rPr>
                <w:rFonts w:cstheme="minorHAnsi"/>
                <w:b/>
              </w:rPr>
              <w:t>Résultats attendus</w:t>
            </w:r>
          </w:p>
        </w:tc>
        <w:tc>
          <w:tcPr>
            <w:tcW w:w="2409" w:type="dxa"/>
          </w:tcPr>
          <w:p w:rsidR="000928BB" w:rsidRPr="0000719F" w:rsidRDefault="000928BB" w:rsidP="0000719F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00719F">
              <w:rPr>
                <w:rFonts w:cstheme="minorHAnsi"/>
                <w:b/>
              </w:rPr>
              <w:t>Actions prioritaires à mener</w:t>
            </w:r>
          </w:p>
        </w:tc>
        <w:tc>
          <w:tcPr>
            <w:tcW w:w="1690" w:type="dxa"/>
          </w:tcPr>
          <w:p w:rsidR="000928BB" w:rsidRPr="0000719F" w:rsidRDefault="00D71F39" w:rsidP="0000719F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00719F">
              <w:rPr>
                <w:rFonts w:cstheme="minorHAnsi"/>
                <w:b/>
              </w:rPr>
              <w:t>Parties prenantes</w:t>
            </w:r>
          </w:p>
        </w:tc>
        <w:tc>
          <w:tcPr>
            <w:tcW w:w="1145" w:type="dxa"/>
          </w:tcPr>
          <w:p w:rsidR="000928BB" w:rsidRPr="0000719F" w:rsidRDefault="00D71F39" w:rsidP="0000719F">
            <w:pPr>
              <w:spacing w:line="360" w:lineRule="auto"/>
              <w:jc w:val="center"/>
              <w:rPr>
                <w:rFonts w:cstheme="minorHAnsi"/>
                <w:b/>
              </w:rPr>
            </w:pPr>
            <w:r w:rsidRPr="0000719F">
              <w:rPr>
                <w:rFonts w:cstheme="minorHAnsi"/>
                <w:b/>
              </w:rPr>
              <w:t>Echéance</w:t>
            </w:r>
          </w:p>
        </w:tc>
      </w:tr>
      <w:tr w:rsidR="00A27C50" w:rsidRPr="0000719F" w:rsidTr="00FC5C80">
        <w:trPr>
          <w:trHeight w:val="2967"/>
          <w:jc w:val="center"/>
        </w:trPr>
        <w:tc>
          <w:tcPr>
            <w:tcW w:w="573" w:type="dxa"/>
            <w:vMerge w:val="restart"/>
          </w:tcPr>
          <w:p w:rsidR="00A27C50" w:rsidRPr="00A27C50" w:rsidRDefault="00A27C50" w:rsidP="00A27C50">
            <w:pPr>
              <w:spacing w:line="360" w:lineRule="auto"/>
              <w:jc w:val="center"/>
              <w:rPr>
                <w:rFonts w:cstheme="minorHAnsi"/>
                <w:bCs/>
              </w:rPr>
            </w:pPr>
            <w:r w:rsidRPr="00A27C50">
              <w:rPr>
                <w:rFonts w:cstheme="minorHAnsi"/>
                <w:bCs/>
              </w:rPr>
              <w:t>1</w:t>
            </w:r>
          </w:p>
        </w:tc>
        <w:tc>
          <w:tcPr>
            <w:tcW w:w="1276" w:type="dxa"/>
            <w:vMerge w:val="restart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Protection</w:t>
            </w:r>
          </w:p>
        </w:tc>
        <w:tc>
          <w:tcPr>
            <w:tcW w:w="1559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 xml:space="preserve">- Consolidation de la paix 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  <w:bCs/>
              </w:rPr>
              <w:t>- Résolution des conflits</w:t>
            </w:r>
          </w:p>
        </w:tc>
        <w:tc>
          <w:tcPr>
            <w:tcW w:w="1985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 xml:space="preserve">-Diversité des conflits intercommunautaires 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-Méfiances interethniques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-Existences des conflits qui dégénèrent en affrontements et guerres fratricides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 xml:space="preserve">-Recrudescence des conflits armés, règlement des comptes 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-Ambivalence des appareils judiciaires</w:t>
            </w:r>
          </w:p>
        </w:tc>
        <w:tc>
          <w:tcPr>
            <w:tcW w:w="198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>-Inciter les communautés à la cohésion sociale et à la consolidation de la paix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</w:p>
        </w:tc>
        <w:tc>
          <w:tcPr>
            <w:tcW w:w="269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-Une cartographie des conflits est mise régulièrement à jour pour l’analyse et l’alerte précoce des conflits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-Un mécanisme durable de prévention, gestion et transformation positive des conflits est mis en place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>-Des campagnes de sensibilisation sont effectives dans les communautés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-Les initiatives locales de résolution de conflits sont app</w:t>
            </w:r>
            <w:bookmarkStart w:id="0" w:name="_GoBack"/>
            <w:bookmarkEnd w:id="0"/>
            <w:r w:rsidRPr="0000719F">
              <w:rPr>
                <w:rFonts w:cstheme="minorHAnsi"/>
              </w:rPr>
              <w:t>uyés</w:t>
            </w:r>
          </w:p>
        </w:tc>
        <w:tc>
          <w:tcPr>
            <w:tcW w:w="2409" w:type="dxa"/>
          </w:tcPr>
          <w:p w:rsidR="00A27C50" w:rsidRPr="00387B0C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387B0C">
              <w:rPr>
                <w:rFonts w:cstheme="minorHAnsi"/>
              </w:rPr>
              <w:lastRenderedPageBreak/>
              <w:t>-Sensibiliser les communautés sur la cohabitation pacifique et les valeurs positives</w:t>
            </w:r>
          </w:p>
          <w:p w:rsidR="00A27C50" w:rsidRPr="00387B0C" w:rsidRDefault="00A27C50" w:rsidP="00A27C50">
            <w:pPr>
              <w:jc w:val="both"/>
              <w:rPr>
                <w:rFonts w:cstheme="minorHAnsi"/>
              </w:rPr>
            </w:pPr>
            <w:r w:rsidRPr="00387B0C">
              <w:rPr>
                <w:rFonts w:cstheme="minorHAnsi"/>
              </w:rPr>
              <w:t>-Former les leaders des communautés en matière de prévention et gestion des conflits</w:t>
            </w:r>
          </w:p>
          <w:p w:rsidR="0076648E" w:rsidRPr="00387B0C" w:rsidRDefault="0076648E" w:rsidP="00A27C50">
            <w:pPr>
              <w:jc w:val="both"/>
              <w:rPr>
                <w:rFonts w:cstheme="minorHAnsi"/>
              </w:rPr>
            </w:pPr>
            <w:r w:rsidRPr="00387B0C">
              <w:rPr>
                <w:rFonts w:cstheme="minorHAnsi"/>
              </w:rPr>
              <w:t xml:space="preserve">Travailler avec les dynamiques  locales de </w:t>
            </w:r>
            <w:r w:rsidRPr="00387B0C">
              <w:rPr>
                <w:rFonts w:cstheme="minorHAnsi"/>
              </w:rPr>
              <w:lastRenderedPageBreak/>
              <w:t>paix existantes et ou en créer</w:t>
            </w:r>
          </w:p>
          <w:p w:rsidR="00A27C50" w:rsidRPr="00387B0C" w:rsidRDefault="00A27C50" w:rsidP="00A27C50">
            <w:pPr>
              <w:jc w:val="both"/>
              <w:rPr>
                <w:rFonts w:cstheme="minorHAnsi"/>
              </w:rPr>
            </w:pPr>
            <w:r w:rsidRPr="00387B0C">
              <w:rPr>
                <w:rFonts w:cstheme="minorHAnsi"/>
              </w:rPr>
              <w:t>- Mettre en place des projets connecteurs facilitant la cohésion sociale</w:t>
            </w:r>
          </w:p>
          <w:p w:rsidR="00A27C50" w:rsidRPr="00387B0C" w:rsidRDefault="00A27C50" w:rsidP="00A27C50">
            <w:pPr>
              <w:pStyle w:val="Paragraphedeliste"/>
              <w:ind w:left="318"/>
              <w:jc w:val="both"/>
              <w:rPr>
                <w:rFonts w:cstheme="minorHAnsi"/>
              </w:rPr>
            </w:pPr>
          </w:p>
          <w:p w:rsidR="00A27C50" w:rsidRPr="00387B0C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</w:p>
        </w:tc>
        <w:tc>
          <w:tcPr>
            <w:tcW w:w="1690" w:type="dxa"/>
          </w:tcPr>
          <w:p w:rsidR="00A27C50" w:rsidRPr="00387B0C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387B0C">
              <w:rPr>
                <w:rFonts w:cstheme="minorHAnsi"/>
                <w:color w:val="000000"/>
              </w:rPr>
              <w:lastRenderedPageBreak/>
              <w:t>Membre</w:t>
            </w:r>
            <w:r w:rsidR="0076648E" w:rsidRPr="00387B0C">
              <w:rPr>
                <w:rFonts w:cstheme="minorHAnsi"/>
                <w:color w:val="000000"/>
              </w:rPr>
              <w:t>s</w:t>
            </w:r>
            <w:r w:rsidRPr="00387B0C">
              <w:rPr>
                <w:rFonts w:cstheme="minorHAnsi"/>
                <w:color w:val="000000"/>
              </w:rPr>
              <w:t xml:space="preserve"> de la communauté</w:t>
            </w:r>
          </w:p>
          <w:p w:rsidR="00A27C50" w:rsidRPr="00387B0C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387B0C">
              <w:rPr>
                <w:rFonts w:cstheme="minorHAnsi"/>
                <w:color w:val="000000"/>
              </w:rPr>
              <w:t>Organisations des personnes handicapées</w:t>
            </w:r>
          </w:p>
          <w:p w:rsidR="00A27C50" w:rsidRPr="00387B0C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387B0C">
              <w:rPr>
                <w:rFonts w:cstheme="minorHAnsi"/>
                <w:color w:val="000000"/>
              </w:rPr>
              <w:t>Gouvernement</w:t>
            </w:r>
          </w:p>
          <w:p w:rsidR="00A27C50" w:rsidRPr="00387B0C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387B0C">
              <w:rPr>
                <w:rFonts w:cstheme="minorHAnsi"/>
                <w:color w:val="000000"/>
              </w:rPr>
              <w:t>Organisations Internationales et onusiennes</w:t>
            </w:r>
          </w:p>
          <w:p w:rsidR="0076648E" w:rsidRPr="00387B0C" w:rsidRDefault="0076648E" w:rsidP="00A27C50">
            <w:pPr>
              <w:jc w:val="both"/>
              <w:rPr>
                <w:rFonts w:cstheme="minorHAnsi"/>
                <w:color w:val="000000"/>
              </w:rPr>
            </w:pPr>
            <w:r w:rsidRPr="00387B0C">
              <w:rPr>
                <w:rFonts w:cstheme="minorHAnsi"/>
                <w:color w:val="000000"/>
              </w:rPr>
              <w:t xml:space="preserve">Structures et ou dynamiques de </w:t>
            </w:r>
            <w:r w:rsidR="00722C23" w:rsidRPr="00387B0C">
              <w:rPr>
                <w:rFonts w:cstheme="minorHAnsi"/>
                <w:color w:val="000000"/>
              </w:rPr>
              <w:t>paix</w:t>
            </w:r>
            <w:r w:rsidR="00722C23">
              <w:rPr>
                <w:rFonts w:cstheme="minorHAnsi"/>
                <w:color w:val="000000"/>
              </w:rPr>
              <w:t xml:space="preserve"> exis</w:t>
            </w:r>
            <w:r w:rsidRPr="00387B0C">
              <w:rPr>
                <w:rFonts w:cstheme="minorHAnsi"/>
                <w:color w:val="000000"/>
              </w:rPr>
              <w:t xml:space="preserve">tantes </w:t>
            </w:r>
            <w:r w:rsidRPr="00387B0C">
              <w:rPr>
                <w:rFonts w:cstheme="minorHAnsi"/>
                <w:color w:val="000000"/>
              </w:rPr>
              <w:lastRenderedPageBreak/>
              <w:t>telles que les cadres de concertation, les CLPD, les CLD etc.</w:t>
            </w:r>
          </w:p>
          <w:p w:rsidR="00A27C50" w:rsidRPr="00387B0C" w:rsidRDefault="00A27C50" w:rsidP="00A27C50">
            <w:pPr>
              <w:jc w:val="both"/>
              <w:rPr>
                <w:rFonts w:cstheme="minorHAnsi"/>
                <w:color w:val="000000"/>
              </w:rPr>
            </w:pPr>
          </w:p>
        </w:tc>
        <w:tc>
          <w:tcPr>
            <w:tcW w:w="1145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>Court-Moyen- Long terme</w:t>
            </w:r>
          </w:p>
        </w:tc>
      </w:tr>
      <w:tr w:rsidR="00A27C50" w:rsidRPr="0000719F" w:rsidTr="00F70EA0">
        <w:trPr>
          <w:jc w:val="center"/>
        </w:trPr>
        <w:tc>
          <w:tcPr>
            <w:tcW w:w="573" w:type="dxa"/>
            <w:vMerge/>
          </w:tcPr>
          <w:p w:rsidR="00A27C50" w:rsidRPr="0000719F" w:rsidRDefault="00A27C50" w:rsidP="00A27C50">
            <w:pPr>
              <w:spacing w:line="360" w:lineRule="auto"/>
              <w:jc w:val="center"/>
              <w:rPr>
                <w:rFonts w:cstheme="minorHAnsi"/>
                <w:b/>
              </w:rPr>
            </w:pPr>
          </w:p>
        </w:tc>
        <w:tc>
          <w:tcPr>
            <w:tcW w:w="1276" w:type="dxa"/>
            <w:vMerge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</w:p>
        </w:tc>
        <w:tc>
          <w:tcPr>
            <w:tcW w:w="1559" w:type="dxa"/>
          </w:tcPr>
          <w:p w:rsidR="00A27C50" w:rsidRPr="0000719F" w:rsidRDefault="00A27C50" w:rsidP="00A27C50">
            <w:pPr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 xml:space="preserve"> Violences sexuelles basées sur le genre</w:t>
            </w:r>
          </w:p>
        </w:tc>
        <w:tc>
          <w:tcPr>
            <w:tcW w:w="1985" w:type="dxa"/>
          </w:tcPr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-Violences et abus sexuels fréquents à l’égard des femmes handicapées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 Faible connaissance sur la protection contre les infections sexuelles, le VIH/SIDA et  la santé reproductive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:rsidR="00A27C50" w:rsidRDefault="00A27C50" w:rsidP="00A27C50">
            <w:pPr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Lutter contre les violences sexuelles et celles basées sur le genre</w:t>
            </w:r>
          </w:p>
          <w:p w:rsidR="0076648E" w:rsidRDefault="0076648E" w:rsidP="00A27C50">
            <w:pPr>
              <w:rPr>
                <w:rFonts w:cstheme="minorHAnsi"/>
                <w:bCs/>
              </w:rPr>
            </w:pPr>
          </w:p>
          <w:p w:rsidR="0076648E" w:rsidRPr="0000719F" w:rsidRDefault="0076648E" w:rsidP="00A27C50">
            <w:pPr>
              <w:rPr>
                <w:rFonts w:cstheme="minorHAnsi"/>
              </w:rPr>
            </w:pPr>
            <w:r w:rsidRPr="00387B0C">
              <w:rPr>
                <w:rFonts w:cstheme="minorHAnsi"/>
                <w:bCs/>
              </w:rPr>
              <w:t>Renforcement des capacités sur la protection contre les IST et la santé reproductive</w:t>
            </w:r>
          </w:p>
        </w:tc>
        <w:tc>
          <w:tcPr>
            <w:tcW w:w="2694" w:type="dxa"/>
          </w:tcPr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-Les violations à l’égard des femmes handicapées sont réduites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 xml:space="preserve">- Les femmes handicapées ont connaissance sur la santé sexuelle et de la reproduction </w:t>
            </w:r>
          </w:p>
        </w:tc>
        <w:tc>
          <w:tcPr>
            <w:tcW w:w="2409" w:type="dxa"/>
          </w:tcPr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-Sensibiliser les personnes handicapées sur la santé sexuelle et de la reproduction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 Mener des actions de prévention contre les violences sexuelles et celles basées sur le genre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 Dénoncer tout cas de violence sexuelle et celle basée sur le genre</w:t>
            </w:r>
          </w:p>
          <w:p w:rsidR="00A27C50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 xml:space="preserve">-Orienter les cas de violence sexuelle et celle basée sur le genre aux institution </w:t>
            </w:r>
            <w:r w:rsidRPr="0000719F">
              <w:rPr>
                <w:rFonts w:cstheme="minorHAnsi"/>
              </w:rPr>
              <w:lastRenderedPageBreak/>
              <w:t>spécialisées pour une prise en charge (juridique, médicale, psychologique)</w:t>
            </w:r>
          </w:p>
          <w:p w:rsidR="0076648E" w:rsidRPr="0000719F" w:rsidRDefault="0076648E" w:rsidP="00A27C50">
            <w:pPr>
              <w:rPr>
                <w:rFonts w:cstheme="minorHAnsi"/>
              </w:rPr>
            </w:pPr>
            <w:r w:rsidRPr="00387B0C">
              <w:rPr>
                <w:rFonts w:cstheme="minorHAnsi"/>
              </w:rPr>
              <w:t>Accompagnement socio-économique des victimes de violences basées sur le genre (Apprentissage des métiers et activités génératrices des revenus</w:t>
            </w:r>
          </w:p>
        </w:tc>
        <w:tc>
          <w:tcPr>
            <w:tcW w:w="1690" w:type="dxa"/>
          </w:tcPr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>Personnes handicapées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Organisations des personnes handicapées</w:t>
            </w:r>
          </w:p>
          <w:p w:rsidR="00A27C50" w:rsidRPr="0000719F" w:rsidRDefault="0076648E" w:rsidP="00A27C50">
            <w:pPr>
              <w:rPr>
                <w:rFonts w:cstheme="minorHAnsi"/>
              </w:rPr>
            </w:pPr>
            <w:r>
              <w:rPr>
                <w:rFonts w:cstheme="minorHAnsi"/>
              </w:rPr>
              <w:t>Institutions de pri</w:t>
            </w:r>
            <w:r w:rsidR="00A27C50" w:rsidRPr="0000719F">
              <w:rPr>
                <w:rFonts w:cstheme="minorHAnsi"/>
              </w:rPr>
              <w:t>se en charge des victimes des VSBG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Gouvernement</w:t>
            </w:r>
          </w:p>
        </w:tc>
        <w:tc>
          <w:tcPr>
            <w:tcW w:w="1145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Court-Moyen- Long terme</w:t>
            </w:r>
          </w:p>
        </w:tc>
      </w:tr>
      <w:tr w:rsidR="00A27C50" w:rsidRPr="0000719F" w:rsidTr="00F70EA0">
        <w:trPr>
          <w:jc w:val="center"/>
        </w:trPr>
        <w:tc>
          <w:tcPr>
            <w:tcW w:w="573" w:type="dxa"/>
            <w:vMerge/>
          </w:tcPr>
          <w:p w:rsidR="00A27C50" w:rsidRPr="0000719F" w:rsidRDefault="00A27C50" w:rsidP="00A27C50">
            <w:pPr>
              <w:spacing w:line="360" w:lineRule="auto"/>
              <w:jc w:val="center"/>
              <w:rPr>
                <w:rFonts w:cstheme="minorHAnsi"/>
                <w:b/>
              </w:rPr>
            </w:pPr>
          </w:p>
        </w:tc>
        <w:tc>
          <w:tcPr>
            <w:tcW w:w="1276" w:type="dxa"/>
            <w:vMerge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</w:p>
        </w:tc>
        <w:tc>
          <w:tcPr>
            <w:tcW w:w="1559" w:type="dxa"/>
          </w:tcPr>
          <w:p w:rsidR="00A27C50" w:rsidRPr="0000719F" w:rsidRDefault="00A27C50" w:rsidP="00A27C50">
            <w:pPr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Droits humains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  <w:p w:rsidR="00A27C50" w:rsidRPr="0000719F" w:rsidRDefault="00A27C50" w:rsidP="00A27C50">
            <w:pPr>
              <w:rPr>
                <w:rFonts w:cstheme="minorHAnsi"/>
              </w:rPr>
            </w:pPr>
          </w:p>
        </w:tc>
        <w:tc>
          <w:tcPr>
            <w:tcW w:w="1985" w:type="dxa"/>
          </w:tcPr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>-Violation des droits des personnes vivant avec handicap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 xml:space="preserve">-Exclusion des personnes handicapées dans les activités communautaires 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 xml:space="preserve">- Méconnaissance de loi organique portant protection de la personne handicapée ainsi </w:t>
            </w:r>
            <w:r w:rsidRPr="0000719F">
              <w:rPr>
                <w:rFonts w:cstheme="minorHAnsi"/>
              </w:rPr>
              <w:lastRenderedPageBreak/>
              <w:t>que la convention internationale des droits des personnes handicapées (CIDPH)</w:t>
            </w:r>
          </w:p>
        </w:tc>
        <w:tc>
          <w:tcPr>
            <w:tcW w:w="1984" w:type="dxa"/>
          </w:tcPr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  <w:bCs/>
              </w:rPr>
              <w:lastRenderedPageBreak/>
              <w:t>Promouvoir les droits des personnes handicapées et autres vulnérables</w:t>
            </w:r>
          </w:p>
        </w:tc>
        <w:tc>
          <w:tcPr>
            <w:tcW w:w="2694" w:type="dxa"/>
          </w:tcPr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-Les droits des Personnes handicapées sont garantis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-Les besoins spécifiques des personnes handicapées sont prises en compte dans les actions communautaires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-La loi organique de protection des personnes handicapées et le CIDPH) sont vulgarisée</w:t>
            </w:r>
            <w:r w:rsidR="0076648E">
              <w:rPr>
                <w:rFonts w:cstheme="minorHAnsi"/>
              </w:rPr>
              <w:t>s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 xml:space="preserve"> </w:t>
            </w:r>
          </w:p>
        </w:tc>
        <w:tc>
          <w:tcPr>
            <w:tcW w:w="2409" w:type="dxa"/>
          </w:tcPr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-Sensibiliser la communauté sur les droits des personnes handicapes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- Tenir compte des besoins spécifiques des personnes handicapées dans les actions communautaires</w:t>
            </w:r>
          </w:p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 xml:space="preserve">-Vulgariser la loi organique ainsi que la convention internationale des droits des personnes </w:t>
            </w:r>
            <w:r w:rsidRPr="0000719F">
              <w:rPr>
                <w:rFonts w:cstheme="minorHAnsi"/>
              </w:rPr>
              <w:lastRenderedPageBreak/>
              <w:t>handicapées (CIDPH) et les autres instruments internationaux en faveur des personnes vivant avec handicap</w:t>
            </w:r>
          </w:p>
        </w:tc>
        <w:tc>
          <w:tcPr>
            <w:tcW w:w="1690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lastRenderedPageBreak/>
              <w:t>Membre de la communauté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Organisations des personnes handicapées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Gouvernement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Organisations Internationales et onusiennes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</w:p>
        </w:tc>
        <w:tc>
          <w:tcPr>
            <w:tcW w:w="1145" w:type="dxa"/>
          </w:tcPr>
          <w:p w:rsidR="00A27C50" w:rsidRPr="0000719F" w:rsidRDefault="00A27C50" w:rsidP="00A27C50">
            <w:pPr>
              <w:rPr>
                <w:rFonts w:cstheme="minorHAnsi"/>
              </w:rPr>
            </w:pPr>
            <w:r w:rsidRPr="0000719F">
              <w:rPr>
                <w:rFonts w:cstheme="minorHAnsi"/>
              </w:rPr>
              <w:t>Court-Moyen-long terme</w:t>
            </w:r>
          </w:p>
        </w:tc>
      </w:tr>
      <w:tr w:rsidR="00A27C50" w:rsidRPr="0000719F" w:rsidTr="00274A44">
        <w:trPr>
          <w:trHeight w:val="699"/>
          <w:jc w:val="center"/>
        </w:trPr>
        <w:tc>
          <w:tcPr>
            <w:tcW w:w="573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lastRenderedPageBreak/>
              <w:t>2</w:t>
            </w:r>
          </w:p>
        </w:tc>
        <w:tc>
          <w:tcPr>
            <w:tcW w:w="1276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Santé</w:t>
            </w:r>
          </w:p>
        </w:tc>
        <w:tc>
          <w:tcPr>
            <w:tcW w:w="1559" w:type="dxa"/>
          </w:tcPr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-Prévention</w:t>
            </w: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-Soins de santé</w:t>
            </w: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 Réadaptation</w:t>
            </w: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-aides techniques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1985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-Faible accès des P</w:t>
            </w:r>
            <w:r w:rsidR="0076648E">
              <w:rPr>
                <w:rFonts w:cstheme="minorHAnsi"/>
                <w:bCs/>
              </w:rPr>
              <w:t>ersonnes handicapées</w:t>
            </w:r>
            <w:r w:rsidRPr="0000719F">
              <w:rPr>
                <w:rFonts w:cstheme="minorHAnsi"/>
                <w:bCs/>
              </w:rPr>
              <w:t xml:space="preserve"> aux soins spécifiques 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-Coût onéreux des soins spécifiques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-Mobilité réduite des personnes vivant avec handicap</w:t>
            </w:r>
          </w:p>
        </w:tc>
        <w:tc>
          <w:tcPr>
            <w:tcW w:w="198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Prise en charge médicale des personnes handicapées</w:t>
            </w:r>
          </w:p>
        </w:tc>
        <w:tc>
          <w:tcPr>
            <w:tcW w:w="269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-Les personnes handicapées accèdent aux soins spécifiques</w:t>
            </w:r>
          </w:p>
          <w:p w:rsidR="00A27C50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 xml:space="preserve">-Les personnes handicapées accèdent aux aides techniques pour faciliter leur mobilité </w:t>
            </w:r>
          </w:p>
          <w:p w:rsidR="009004E3" w:rsidRPr="0000719F" w:rsidRDefault="009004E3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387B0C">
              <w:rPr>
                <w:rFonts w:cstheme="minorHAnsi"/>
                <w:bCs/>
              </w:rPr>
              <w:t>Les personnes handicapés reçoivent des soins de santé spécifiques tels que la kinésithérapie, chirurgie orthopédique etc</w:t>
            </w:r>
          </w:p>
        </w:tc>
        <w:tc>
          <w:tcPr>
            <w:tcW w:w="2409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 xml:space="preserve">-Mener des cliniques mobiles 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-Sensibiliser les communautés de base sur le handicap</w:t>
            </w:r>
          </w:p>
          <w:p w:rsidR="00A27C50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 xml:space="preserve">-Identifier, orienter et référencer les PVH aux institutions spécialisées 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-Assurer la prise en charge médicale des personnes vivant avec handicap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 xml:space="preserve">-Doter aux personnes vivant avec handicap des </w:t>
            </w:r>
            <w:r w:rsidRPr="0000719F">
              <w:rPr>
                <w:rFonts w:cstheme="minorHAnsi"/>
                <w:bCs/>
              </w:rPr>
              <w:lastRenderedPageBreak/>
              <w:t>aides techniques pour faciliter leur mobilité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-Assurer le suivi des cas référées aux institutions spécialisées et post soins dans la communauté</w:t>
            </w:r>
          </w:p>
        </w:tc>
        <w:tc>
          <w:tcPr>
            <w:tcW w:w="1690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lastRenderedPageBreak/>
              <w:t>Personnes handicapées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Membres de la communauté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Institutions spécialisées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Organisation des Personnes Handicapées</w:t>
            </w:r>
          </w:p>
        </w:tc>
        <w:tc>
          <w:tcPr>
            <w:tcW w:w="1145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Court Terme</w:t>
            </w:r>
          </w:p>
        </w:tc>
      </w:tr>
      <w:tr w:rsidR="00A27C50" w:rsidRPr="0000719F" w:rsidTr="00274A44">
        <w:trPr>
          <w:trHeight w:val="841"/>
          <w:jc w:val="center"/>
        </w:trPr>
        <w:tc>
          <w:tcPr>
            <w:tcW w:w="573" w:type="dxa"/>
          </w:tcPr>
          <w:p w:rsidR="00A27C50" w:rsidRPr="00A27C50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A27C50">
              <w:rPr>
                <w:rFonts w:cstheme="minorHAnsi"/>
                <w:bCs/>
              </w:rPr>
              <w:lastRenderedPageBreak/>
              <w:t>3</w:t>
            </w:r>
          </w:p>
        </w:tc>
        <w:tc>
          <w:tcPr>
            <w:tcW w:w="1276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Education</w:t>
            </w:r>
          </w:p>
        </w:tc>
        <w:tc>
          <w:tcPr>
            <w:tcW w:w="1559" w:type="dxa"/>
          </w:tcPr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-Petite enfance</w:t>
            </w: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-Primaire</w:t>
            </w: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-Secondaire et Universitaire</w:t>
            </w: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Informel</w:t>
            </w: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1985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-Faibles revenus des familles ayant des enfants  avec handicap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 xml:space="preserve">-Taux faible de </w:t>
            </w:r>
            <w:r w:rsidR="009004E3">
              <w:rPr>
                <w:rFonts w:cstheme="minorHAnsi"/>
                <w:bCs/>
              </w:rPr>
              <w:t>scolarisation des enfants</w:t>
            </w:r>
            <w:r w:rsidRPr="0000719F">
              <w:rPr>
                <w:rFonts w:cstheme="minorHAnsi"/>
                <w:bCs/>
              </w:rPr>
              <w:t xml:space="preserve"> avec handicap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 xml:space="preserve">-Manque de formation spécialisée notamment pour </w:t>
            </w:r>
            <w:r w:rsidRPr="0000719F">
              <w:rPr>
                <w:rFonts w:cstheme="minorHAnsi"/>
                <w:bCs/>
              </w:rPr>
              <w:lastRenderedPageBreak/>
              <w:t>les enfants sourds et aveugles</w:t>
            </w:r>
          </w:p>
          <w:p w:rsidR="00A27C50" w:rsidRDefault="009004E3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-Oisiveté des jeunes </w:t>
            </w:r>
            <w:r w:rsidR="00A27C50" w:rsidRPr="0000719F">
              <w:rPr>
                <w:rFonts w:cstheme="minorHAnsi"/>
                <w:bCs/>
              </w:rPr>
              <w:t xml:space="preserve"> avec handicap non scolarisés</w:t>
            </w:r>
            <w:r>
              <w:rPr>
                <w:rFonts w:cstheme="minorHAnsi"/>
                <w:bCs/>
              </w:rPr>
              <w:t>.</w:t>
            </w:r>
          </w:p>
          <w:p w:rsidR="009004E3" w:rsidRPr="0000719F" w:rsidRDefault="009004E3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198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lastRenderedPageBreak/>
              <w:t>Scolariser et assurer une formation professionnelle aux enfants et jeunes handicapés</w:t>
            </w:r>
          </w:p>
        </w:tc>
        <w:tc>
          <w:tcPr>
            <w:tcW w:w="269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-La cartographie des enfants handicapés est connue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 xml:space="preserve">-Les enfants handicapés fréquentent l’école 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-Les enfants sourds muets apprennent la langue de signe et subissent une éducation inclusive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-Les enfants aveugles apprennent le braille et subissent une éducation inclusive.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lastRenderedPageBreak/>
              <w:t>-Les jeunes handicapés apprennent des métiers</w:t>
            </w:r>
          </w:p>
        </w:tc>
        <w:tc>
          <w:tcPr>
            <w:tcW w:w="2409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lastRenderedPageBreak/>
              <w:t>-identifier les handicapés en besoin de scolarisation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-scolariser les enfants handicapés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-former en langue de signe des enfants sourds-muets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-former en braille les enfants aveugles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-Former les jeunes handicapés en divers métiers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</w:p>
        </w:tc>
        <w:tc>
          <w:tcPr>
            <w:tcW w:w="1690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 xml:space="preserve">Enfants et jeunes handicapées 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Parents des enfants et jeunes handicapés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Ecoles (normales et spécialisées)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Gouvernement</w:t>
            </w:r>
          </w:p>
          <w:p w:rsidR="00A27C50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Organisations des Personnes Handicapées</w:t>
            </w:r>
          </w:p>
          <w:p w:rsidR="009004E3" w:rsidRDefault="009004E3" w:rsidP="00A27C50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Institutions scolaires</w:t>
            </w:r>
          </w:p>
          <w:p w:rsidR="009004E3" w:rsidRPr="0000719F" w:rsidRDefault="009004E3" w:rsidP="00A27C50">
            <w:pPr>
              <w:jc w:val="both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lastRenderedPageBreak/>
              <w:t xml:space="preserve"> privées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</w:p>
        </w:tc>
        <w:tc>
          <w:tcPr>
            <w:tcW w:w="1145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>Court et Moyen</w:t>
            </w:r>
            <w:r w:rsidR="009004E3">
              <w:rPr>
                <w:rFonts w:cstheme="minorHAnsi"/>
              </w:rPr>
              <w:t xml:space="preserve"> et long terme</w:t>
            </w:r>
            <w:r w:rsidRPr="0000719F">
              <w:rPr>
                <w:rFonts w:cstheme="minorHAnsi"/>
              </w:rPr>
              <w:t xml:space="preserve"> terme</w:t>
            </w:r>
          </w:p>
        </w:tc>
      </w:tr>
      <w:tr w:rsidR="00A27C50" w:rsidRPr="0000719F" w:rsidTr="00532F79">
        <w:trPr>
          <w:jc w:val="center"/>
        </w:trPr>
        <w:tc>
          <w:tcPr>
            <w:tcW w:w="573" w:type="dxa"/>
            <w:vMerge w:val="restart"/>
          </w:tcPr>
          <w:p w:rsidR="00A27C50" w:rsidRPr="00A27C50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A27C50">
              <w:rPr>
                <w:rFonts w:cstheme="minorHAnsi"/>
                <w:bCs/>
              </w:rPr>
              <w:lastRenderedPageBreak/>
              <w:t>4</w:t>
            </w:r>
          </w:p>
        </w:tc>
        <w:tc>
          <w:tcPr>
            <w:tcW w:w="1276" w:type="dxa"/>
            <w:vMerge w:val="restart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Moyens de subsistance</w:t>
            </w:r>
          </w:p>
        </w:tc>
        <w:tc>
          <w:tcPr>
            <w:tcW w:w="1559" w:type="dxa"/>
          </w:tcPr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Auto emploi</w:t>
            </w: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1985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-Manque d’emploi aux personnes handicapées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-Analphabétisme des personnes handicapées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</w:rPr>
              <w:t>-Non compétitivité des personnes handicapées sur le marché du travail</w:t>
            </w:r>
          </w:p>
        </w:tc>
        <w:tc>
          <w:tcPr>
            <w:tcW w:w="198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-Assurer l’apprentissage des métiers aux personnes handicapées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</w:rPr>
              <w:t>-Augmenter les revenus des personnes handicapées</w:t>
            </w:r>
          </w:p>
        </w:tc>
        <w:tc>
          <w:tcPr>
            <w:tcW w:w="269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-Les personnes handicapées apprennent différents métiers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-Les personnes handicapées exercent des métiers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-La vie des personnes handicapées est améliorée</w:t>
            </w:r>
          </w:p>
        </w:tc>
        <w:tc>
          <w:tcPr>
            <w:tcW w:w="2409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-Sensibiliser les personnes handicapées pour l’apprentissage des métiers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</w:t>
            </w:r>
            <w:r w:rsidR="009004E3">
              <w:rPr>
                <w:rFonts w:cstheme="minorHAnsi"/>
                <w:color w:val="000000"/>
              </w:rPr>
              <w:t xml:space="preserve">Identifier les personnes </w:t>
            </w:r>
            <w:r w:rsidRPr="0000719F">
              <w:rPr>
                <w:rFonts w:cstheme="minorHAnsi"/>
                <w:color w:val="000000"/>
              </w:rPr>
              <w:t>avec handicap capables d’exercer des métiers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-Orienter les personnes handicapées dans des centres d’apprentissage des métiers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 xml:space="preserve">-Doter les personnes handicapées avec les kits d’insertion </w:t>
            </w:r>
          </w:p>
        </w:tc>
        <w:tc>
          <w:tcPr>
            <w:tcW w:w="1690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 xml:space="preserve">Personnes handicapées 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Centres d’apprentissage professionnel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Organisations de Personnes Handicapées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Gouvernement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 xml:space="preserve">Organisations Internationales et onusiennes </w:t>
            </w:r>
          </w:p>
        </w:tc>
        <w:tc>
          <w:tcPr>
            <w:tcW w:w="1145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Court et Moyen terme</w:t>
            </w:r>
          </w:p>
        </w:tc>
      </w:tr>
      <w:tr w:rsidR="00A27C50" w:rsidRPr="0000719F" w:rsidTr="00532F79">
        <w:trPr>
          <w:jc w:val="center"/>
        </w:trPr>
        <w:tc>
          <w:tcPr>
            <w:tcW w:w="573" w:type="dxa"/>
            <w:vMerge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1276" w:type="dxa"/>
            <w:vMerge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1559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Services financiers (Microcrédit)</w:t>
            </w:r>
          </w:p>
        </w:tc>
        <w:tc>
          <w:tcPr>
            <w:tcW w:w="1985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-Revenu faible des personnes handicapées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-Taux de pauvreté élevé des personnes handicapées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</w:p>
        </w:tc>
        <w:tc>
          <w:tcPr>
            <w:tcW w:w="198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-Appuyer les activités génératrices des revenus menées par les personnes vivant avec handicap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-Octroyer des micro-crédits aux personnes handicapées</w:t>
            </w:r>
          </w:p>
        </w:tc>
        <w:tc>
          <w:tcPr>
            <w:tcW w:w="269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-Les activités génératrices menées par des personnes handicapées sont renforcées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 xml:space="preserve">-Les personnes handicapées reçoivent des microcrédits  </w:t>
            </w:r>
          </w:p>
        </w:tc>
        <w:tc>
          <w:tcPr>
            <w:tcW w:w="2409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-Identifier les activités génératrices des revenus exercées par les personnes handicapées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-Former les personnes handicapées en gestion des activités génératrices des revenus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-Appuyer et suivre les activités génératrices des revenus des personnes handicapées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-Octroyer des micro-crédits aux personnes handicapées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-Sensibiliser les personnes handicapées à la culture de l’épargne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-Organiser les personnes handicapées en groupes solidaires</w:t>
            </w:r>
          </w:p>
        </w:tc>
        <w:tc>
          <w:tcPr>
            <w:tcW w:w="1690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Personnes handicapées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Organisations des personnes handicapées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Gouvernement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Organisations Internationales et onusiennes</w:t>
            </w:r>
          </w:p>
        </w:tc>
        <w:tc>
          <w:tcPr>
            <w:tcW w:w="1145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Moyen terme</w:t>
            </w:r>
          </w:p>
        </w:tc>
      </w:tr>
      <w:tr w:rsidR="00A27C50" w:rsidRPr="0000719F" w:rsidTr="00532F79">
        <w:trPr>
          <w:jc w:val="center"/>
        </w:trPr>
        <w:tc>
          <w:tcPr>
            <w:tcW w:w="573" w:type="dxa"/>
            <w:vMerge w:val="restart"/>
          </w:tcPr>
          <w:p w:rsidR="00A27C50" w:rsidRPr="00A27C50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A27C50">
              <w:rPr>
                <w:rFonts w:cstheme="minorHAnsi"/>
                <w:bCs/>
              </w:rPr>
              <w:lastRenderedPageBreak/>
              <w:t>5</w:t>
            </w:r>
          </w:p>
        </w:tc>
        <w:tc>
          <w:tcPr>
            <w:tcW w:w="1276" w:type="dxa"/>
            <w:vMerge w:val="restart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Autonomisation</w:t>
            </w:r>
          </w:p>
        </w:tc>
        <w:tc>
          <w:tcPr>
            <w:tcW w:w="1559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 xml:space="preserve">-Sensibilisation 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-Communication -Mobilisation   communautaire</w:t>
            </w:r>
          </w:p>
        </w:tc>
        <w:tc>
          <w:tcPr>
            <w:tcW w:w="1985" w:type="dxa"/>
          </w:tcPr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-Attitude négative de la communauté à l’égard de la personne handicapée</w:t>
            </w: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-Ignorance de la problématique du handicap</w:t>
            </w: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</w:rPr>
            </w:pPr>
          </w:p>
          <w:p w:rsidR="00A27C50" w:rsidRPr="0000719F" w:rsidRDefault="00A27C50" w:rsidP="00A27C50">
            <w:pPr>
              <w:spacing w:line="240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1984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-Adopter les attitudes et les pratiques positives à l’égard du handicap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-Lutter contre l’ignorance sur le handicap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-Prévenir le handicap à travers la sensibilisation et la mobilisation communautaire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</w:p>
        </w:tc>
        <w:tc>
          <w:tcPr>
            <w:tcW w:w="2694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</w:rPr>
              <w:t xml:space="preserve">- </w:t>
            </w:r>
            <w:r w:rsidRPr="0000719F">
              <w:rPr>
                <w:rFonts w:cstheme="minorHAnsi"/>
                <w:color w:val="000000"/>
              </w:rPr>
              <w:t xml:space="preserve">La communauté est sensibilisée sur le handicap à 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-La connaissance collective sur le handicap est améliorée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 xml:space="preserve">-la détection précoce du handicap et prévention est assurée 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</w:p>
        </w:tc>
        <w:tc>
          <w:tcPr>
            <w:tcW w:w="2409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-Mener une Etude CAP sur le handicap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-Sensibiliser et mobiliser la communauté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-Former des agents sociaux et relais communautaires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-Former des infirmiers/auxiliaires de santé sur la détection et la prévention précoce du handicap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-Former les femmes sur la santé de la reproduction (Maternité à moindre risque)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- Mener des émissions radio télévisées</w:t>
            </w:r>
          </w:p>
        </w:tc>
        <w:tc>
          <w:tcPr>
            <w:tcW w:w="1690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Membres de la communauté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 xml:space="preserve">Comités locaux 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Personnes handicapées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 xml:space="preserve">Organisations des personnes handicapées 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 xml:space="preserve"> 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</w:p>
        </w:tc>
        <w:tc>
          <w:tcPr>
            <w:tcW w:w="1145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Court terme</w:t>
            </w:r>
          </w:p>
        </w:tc>
      </w:tr>
      <w:tr w:rsidR="00A27C50" w:rsidRPr="0000719F" w:rsidTr="00532F79">
        <w:trPr>
          <w:jc w:val="center"/>
        </w:trPr>
        <w:tc>
          <w:tcPr>
            <w:tcW w:w="573" w:type="dxa"/>
            <w:vMerge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1276" w:type="dxa"/>
            <w:vMerge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/>
              </w:rPr>
            </w:pPr>
          </w:p>
        </w:tc>
        <w:tc>
          <w:tcPr>
            <w:tcW w:w="1559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  <w:bCs/>
              </w:rPr>
            </w:pPr>
            <w:r w:rsidRPr="0000719F">
              <w:rPr>
                <w:rFonts w:cstheme="minorHAnsi"/>
                <w:bCs/>
              </w:rPr>
              <w:t>Renforcement des capacités des OPH</w:t>
            </w:r>
          </w:p>
        </w:tc>
        <w:tc>
          <w:tcPr>
            <w:tcW w:w="1985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-Faible capacité des leaders des OPH aux principes de base de gestion des AGR</w:t>
            </w:r>
          </w:p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 xml:space="preserve">-Absence d’expertise avéré dans le domaine du handicap </w:t>
            </w:r>
          </w:p>
          <w:p w:rsidR="00A27C50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t>-Manque de formation des Relais communautaires dans le domaine du handicap</w:t>
            </w:r>
          </w:p>
          <w:p w:rsidR="004E55A6" w:rsidRPr="0000719F" w:rsidRDefault="004E55A6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DD6F17">
              <w:rPr>
                <w:rFonts w:cstheme="minorHAnsi"/>
                <w:highlight w:val="yellow"/>
              </w:rPr>
              <w:t>Manque de budget pour les projets inclusifs des personnes handicapées</w:t>
            </w:r>
          </w:p>
        </w:tc>
        <w:tc>
          <w:tcPr>
            <w:tcW w:w="198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>-Former les leaders des OPH aux principes de base de gestion des projets</w:t>
            </w:r>
          </w:p>
          <w:p w:rsidR="00A27C50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>-Renforcer les capacités des relais communautaires dans le domaine du handicap et dans l’accompagnement des personnes handicapées</w:t>
            </w:r>
          </w:p>
          <w:p w:rsidR="004E55A6" w:rsidRDefault="004E55A6" w:rsidP="00A27C50">
            <w:pPr>
              <w:spacing w:line="360" w:lineRule="auto"/>
              <w:jc w:val="both"/>
              <w:rPr>
                <w:rFonts w:cstheme="minorHAnsi"/>
              </w:rPr>
            </w:pPr>
          </w:p>
          <w:p w:rsidR="004E55A6" w:rsidRDefault="004E55A6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DD6F17">
              <w:rPr>
                <w:rFonts w:cstheme="minorHAnsi"/>
                <w:highlight w:val="yellow"/>
              </w:rPr>
              <w:t>Appuyer des projets des organisations des personnes handicapées  pour leurs besoins spécifiques</w:t>
            </w:r>
          </w:p>
          <w:p w:rsidR="004E55A6" w:rsidRPr="0000719F" w:rsidRDefault="004E55A6" w:rsidP="00A27C50">
            <w:pPr>
              <w:spacing w:line="360" w:lineRule="auto"/>
              <w:jc w:val="both"/>
              <w:rPr>
                <w:rFonts w:cstheme="minorHAnsi"/>
              </w:rPr>
            </w:pPr>
          </w:p>
        </w:tc>
        <w:tc>
          <w:tcPr>
            <w:tcW w:w="2694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 xml:space="preserve">-Les leaders des associations sont informés des principes de base de gestion des AGR </w:t>
            </w:r>
          </w:p>
          <w:p w:rsidR="00A27C50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 xml:space="preserve">-Les relais communautaires sont capacités dans le domaine de handicap et dans l’accompagnement des PVH </w:t>
            </w:r>
          </w:p>
          <w:p w:rsidR="00DD6F17" w:rsidRDefault="00DD6F17" w:rsidP="00A27C50">
            <w:pPr>
              <w:spacing w:line="360" w:lineRule="auto"/>
              <w:jc w:val="both"/>
              <w:rPr>
                <w:rFonts w:cstheme="minorHAnsi"/>
              </w:rPr>
            </w:pPr>
          </w:p>
          <w:p w:rsidR="00DD6F17" w:rsidRDefault="00DD6F17" w:rsidP="00A27C50">
            <w:pPr>
              <w:spacing w:line="360" w:lineRule="auto"/>
              <w:jc w:val="both"/>
              <w:rPr>
                <w:rFonts w:cstheme="minorHAnsi"/>
              </w:rPr>
            </w:pPr>
          </w:p>
          <w:p w:rsidR="00DD6F17" w:rsidRDefault="00DD6F17" w:rsidP="00A27C50">
            <w:pPr>
              <w:spacing w:line="360" w:lineRule="auto"/>
              <w:jc w:val="both"/>
              <w:rPr>
                <w:rFonts w:cstheme="minorHAnsi"/>
              </w:rPr>
            </w:pPr>
          </w:p>
          <w:p w:rsidR="00DD6F17" w:rsidRPr="00DD6F17" w:rsidRDefault="00DD6F17" w:rsidP="00A27C50">
            <w:pPr>
              <w:spacing w:line="360" w:lineRule="auto"/>
              <w:jc w:val="both"/>
              <w:rPr>
                <w:rFonts w:cstheme="minorHAnsi"/>
                <w:highlight w:val="yellow"/>
              </w:rPr>
            </w:pPr>
            <w:r w:rsidRPr="00DD6F17">
              <w:rPr>
                <w:rFonts w:cstheme="minorHAnsi"/>
                <w:highlight w:val="yellow"/>
              </w:rPr>
              <w:t>Les organisations des personnes handicapées  ont des fonds pour conduire des projets au profit de leurs membres</w:t>
            </w:r>
          </w:p>
          <w:p w:rsidR="00DD6F17" w:rsidRDefault="00DD6F17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DD6F17">
              <w:rPr>
                <w:rFonts w:cstheme="minorHAnsi"/>
                <w:highlight w:val="yellow"/>
              </w:rPr>
              <w:t>La vie des personnes handicapées est améliorée</w:t>
            </w:r>
          </w:p>
          <w:p w:rsidR="00DD6F17" w:rsidRPr="0000719F" w:rsidRDefault="00DD6F17" w:rsidP="00A27C50">
            <w:pPr>
              <w:spacing w:line="360" w:lineRule="auto"/>
              <w:jc w:val="both"/>
              <w:rPr>
                <w:rFonts w:cstheme="minorHAnsi"/>
              </w:rPr>
            </w:pPr>
          </w:p>
        </w:tc>
        <w:tc>
          <w:tcPr>
            <w:tcW w:w="2409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lastRenderedPageBreak/>
              <w:t>-Identifier les associations et ou structures des personnes vivant avec handicap</w:t>
            </w:r>
          </w:p>
          <w:p w:rsidR="00A27C50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lastRenderedPageBreak/>
              <w:t>-Renforcer la capacité des leaders des associations sur la réhabilitation à base communautaire</w:t>
            </w:r>
          </w:p>
          <w:p w:rsidR="00DD6F17" w:rsidRDefault="00DD6F17" w:rsidP="00A27C50">
            <w:pPr>
              <w:jc w:val="both"/>
              <w:rPr>
                <w:rFonts w:cstheme="minorHAnsi"/>
                <w:color w:val="000000"/>
              </w:rPr>
            </w:pPr>
          </w:p>
          <w:p w:rsidR="00DD6F17" w:rsidRDefault="00DD6F17" w:rsidP="00A27C50">
            <w:pPr>
              <w:jc w:val="both"/>
              <w:rPr>
                <w:rFonts w:cstheme="minorHAnsi"/>
                <w:color w:val="000000"/>
              </w:rPr>
            </w:pPr>
          </w:p>
          <w:p w:rsidR="00DD6F17" w:rsidRDefault="00DD6F17" w:rsidP="00A27C50">
            <w:pPr>
              <w:jc w:val="both"/>
              <w:rPr>
                <w:rFonts w:cstheme="minorHAnsi"/>
                <w:color w:val="000000"/>
              </w:rPr>
            </w:pPr>
          </w:p>
          <w:p w:rsidR="00DD6F17" w:rsidRDefault="00DD6F17" w:rsidP="00A27C50">
            <w:pPr>
              <w:jc w:val="both"/>
              <w:rPr>
                <w:rFonts w:cstheme="minorHAnsi"/>
                <w:color w:val="000000"/>
              </w:rPr>
            </w:pPr>
          </w:p>
          <w:p w:rsidR="00DD6F17" w:rsidRPr="0000719F" w:rsidRDefault="00DD6F17" w:rsidP="00A27C50">
            <w:pPr>
              <w:jc w:val="both"/>
              <w:rPr>
                <w:rFonts w:cstheme="minorHAnsi"/>
                <w:color w:val="000000"/>
              </w:rPr>
            </w:pPr>
            <w:r w:rsidRPr="00DD6F17">
              <w:rPr>
                <w:rFonts w:cstheme="minorHAnsi"/>
                <w:color w:val="000000"/>
                <w:highlight w:val="yellow"/>
              </w:rPr>
              <w:t>Assurer une évaluation institutionnelle des organisations des personnes handicapées</w:t>
            </w:r>
          </w:p>
        </w:tc>
        <w:tc>
          <w:tcPr>
            <w:tcW w:w="1690" w:type="dxa"/>
          </w:tcPr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lastRenderedPageBreak/>
              <w:t>Organisations des personnes handicapées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t>Gouvernement</w:t>
            </w:r>
          </w:p>
          <w:p w:rsidR="00A27C50" w:rsidRPr="0000719F" w:rsidRDefault="00A27C50" w:rsidP="00A27C50">
            <w:pPr>
              <w:jc w:val="both"/>
              <w:rPr>
                <w:rFonts w:cstheme="minorHAnsi"/>
                <w:color w:val="000000"/>
              </w:rPr>
            </w:pPr>
            <w:r w:rsidRPr="0000719F">
              <w:rPr>
                <w:rFonts w:cstheme="minorHAnsi"/>
                <w:color w:val="000000"/>
              </w:rPr>
              <w:lastRenderedPageBreak/>
              <w:t>Organisations Internationales et onusiennes</w:t>
            </w:r>
          </w:p>
          <w:p w:rsidR="00A27C50" w:rsidRDefault="00A27C50" w:rsidP="00A27C50">
            <w:pPr>
              <w:jc w:val="both"/>
              <w:rPr>
                <w:rFonts w:cstheme="minorHAnsi"/>
                <w:color w:val="000000"/>
              </w:rPr>
            </w:pPr>
          </w:p>
          <w:p w:rsidR="00DD6F17" w:rsidRDefault="00DD6F17" w:rsidP="00A27C50">
            <w:pPr>
              <w:jc w:val="both"/>
              <w:rPr>
                <w:rFonts w:cstheme="minorHAnsi"/>
                <w:color w:val="000000"/>
              </w:rPr>
            </w:pPr>
          </w:p>
          <w:p w:rsidR="00DD6F17" w:rsidRDefault="00DD6F17" w:rsidP="00A27C50">
            <w:pPr>
              <w:jc w:val="both"/>
              <w:rPr>
                <w:rFonts w:cstheme="minorHAnsi"/>
                <w:color w:val="000000"/>
              </w:rPr>
            </w:pPr>
          </w:p>
          <w:p w:rsidR="00DD6F17" w:rsidRDefault="00DD6F17" w:rsidP="00A27C50">
            <w:pPr>
              <w:jc w:val="both"/>
              <w:rPr>
                <w:rFonts w:cstheme="minorHAnsi"/>
                <w:color w:val="000000"/>
              </w:rPr>
            </w:pPr>
          </w:p>
          <w:p w:rsidR="00DD6F17" w:rsidRDefault="00DD6F17" w:rsidP="00A27C50">
            <w:pPr>
              <w:jc w:val="both"/>
              <w:rPr>
                <w:rFonts w:cstheme="minorHAnsi"/>
                <w:color w:val="000000"/>
              </w:rPr>
            </w:pPr>
          </w:p>
          <w:p w:rsidR="00DD6F17" w:rsidRPr="0000719F" w:rsidRDefault="00DD6F17" w:rsidP="00A27C50">
            <w:pPr>
              <w:jc w:val="both"/>
              <w:rPr>
                <w:rFonts w:cstheme="minorHAnsi"/>
                <w:color w:val="000000"/>
              </w:rPr>
            </w:pPr>
            <w:r w:rsidRPr="00DD6F17">
              <w:rPr>
                <w:rFonts w:cstheme="minorHAnsi"/>
                <w:color w:val="000000"/>
                <w:highlight w:val="yellow"/>
              </w:rPr>
              <w:t>Les partenaires  et le gouvernement</w:t>
            </w:r>
          </w:p>
        </w:tc>
        <w:tc>
          <w:tcPr>
            <w:tcW w:w="1145" w:type="dxa"/>
          </w:tcPr>
          <w:p w:rsidR="00A27C50" w:rsidRPr="0000719F" w:rsidRDefault="00A27C50" w:rsidP="00A27C50">
            <w:pPr>
              <w:spacing w:line="360" w:lineRule="auto"/>
              <w:jc w:val="both"/>
              <w:rPr>
                <w:rFonts w:cstheme="minorHAnsi"/>
              </w:rPr>
            </w:pPr>
            <w:r w:rsidRPr="0000719F">
              <w:rPr>
                <w:rFonts w:cstheme="minorHAnsi"/>
              </w:rPr>
              <w:lastRenderedPageBreak/>
              <w:t>Court terme</w:t>
            </w:r>
          </w:p>
        </w:tc>
      </w:tr>
    </w:tbl>
    <w:p w:rsidR="000928BB" w:rsidRDefault="000928BB"/>
    <w:sectPr w:rsidR="000928BB" w:rsidSect="000928B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3F5C" w:rsidRDefault="00A13F5C" w:rsidP="0000719F">
      <w:pPr>
        <w:spacing w:after="0" w:line="240" w:lineRule="auto"/>
      </w:pPr>
      <w:r>
        <w:separator/>
      </w:r>
    </w:p>
  </w:endnote>
  <w:endnote w:type="continuationSeparator" w:id="0">
    <w:p w:rsidR="00A13F5C" w:rsidRDefault="00A13F5C" w:rsidP="00007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3F5C" w:rsidRDefault="00A13F5C" w:rsidP="0000719F">
      <w:pPr>
        <w:spacing w:after="0" w:line="240" w:lineRule="auto"/>
      </w:pPr>
      <w:r>
        <w:separator/>
      </w:r>
    </w:p>
  </w:footnote>
  <w:footnote w:type="continuationSeparator" w:id="0">
    <w:p w:rsidR="00A13F5C" w:rsidRDefault="00A13F5C" w:rsidP="000071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6F1F79"/>
    <w:multiLevelType w:val="hybridMultilevel"/>
    <w:tmpl w:val="2A7E824E"/>
    <w:lvl w:ilvl="0" w:tplc="805007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170B80"/>
    <w:multiLevelType w:val="hybridMultilevel"/>
    <w:tmpl w:val="0174FCE4"/>
    <w:lvl w:ilvl="0" w:tplc="0409000B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28BB"/>
    <w:rsid w:val="0000719F"/>
    <w:rsid w:val="00027738"/>
    <w:rsid w:val="00080DC5"/>
    <w:rsid w:val="000928BB"/>
    <w:rsid w:val="000C3F56"/>
    <w:rsid w:val="000F243D"/>
    <w:rsid w:val="001845E7"/>
    <w:rsid w:val="00187CC5"/>
    <w:rsid w:val="001B7647"/>
    <w:rsid w:val="00254668"/>
    <w:rsid w:val="0027300B"/>
    <w:rsid w:val="00274A44"/>
    <w:rsid w:val="00283906"/>
    <w:rsid w:val="002E3779"/>
    <w:rsid w:val="00387B0C"/>
    <w:rsid w:val="003C55DA"/>
    <w:rsid w:val="003F2362"/>
    <w:rsid w:val="003F784A"/>
    <w:rsid w:val="00487961"/>
    <w:rsid w:val="004E55A6"/>
    <w:rsid w:val="00524665"/>
    <w:rsid w:val="00532F79"/>
    <w:rsid w:val="005969D2"/>
    <w:rsid w:val="00690390"/>
    <w:rsid w:val="006B0240"/>
    <w:rsid w:val="0071611A"/>
    <w:rsid w:val="007222E5"/>
    <w:rsid w:val="00722C23"/>
    <w:rsid w:val="00725B05"/>
    <w:rsid w:val="00752BC3"/>
    <w:rsid w:val="00760C09"/>
    <w:rsid w:val="0076648E"/>
    <w:rsid w:val="008A1D31"/>
    <w:rsid w:val="009004E3"/>
    <w:rsid w:val="00990F6B"/>
    <w:rsid w:val="00A13F5C"/>
    <w:rsid w:val="00A27C50"/>
    <w:rsid w:val="00A86002"/>
    <w:rsid w:val="00AA633F"/>
    <w:rsid w:val="00B2265C"/>
    <w:rsid w:val="00D44D07"/>
    <w:rsid w:val="00D71F39"/>
    <w:rsid w:val="00DD6F17"/>
    <w:rsid w:val="00F02B9A"/>
    <w:rsid w:val="00FC5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7CBAC4-AEEA-4168-936E-93FCE4511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28BB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aliases w:val="Bullets,Medium Grid 1 - Accent 21,References,List Paragraph (numbered (a)),Numbered List Paragraph,Liste 1,List Paragraph1,List Bullet Mary,Liste couleur - Accent 11,Numbered paragraph,FIDA liste,Liste2,Normal11,List1,Normal1"/>
    <w:basedOn w:val="Normal"/>
    <w:link w:val="ParagraphedelisteCar"/>
    <w:uiPriority w:val="34"/>
    <w:qFormat/>
    <w:rsid w:val="000928BB"/>
    <w:pPr>
      <w:ind w:left="720"/>
      <w:contextualSpacing/>
    </w:pPr>
  </w:style>
  <w:style w:type="character" w:customStyle="1" w:styleId="ParagraphedelisteCar">
    <w:name w:val="Paragraphe de liste Car"/>
    <w:aliases w:val="Bullets Car,Medium Grid 1 - Accent 21 Car,References Car,List Paragraph (numbered (a)) Car,Numbered List Paragraph Car,Liste 1 Car,List Paragraph1 Car,List Bullet Mary Car,Liste couleur - Accent 11 Car,Numbered paragraph Car"/>
    <w:link w:val="Paragraphedeliste"/>
    <w:uiPriority w:val="34"/>
    <w:locked/>
    <w:rsid w:val="000928BB"/>
  </w:style>
  <w:style w:type="table" w:styleId="Grilledutableau">
    <w:name w:val="Table Grid"/>
    <w:basedOn w:val="TableauNormal"/>
    <w:uiPriority w:val="59"/>
    <w:rsid w:val="000928BB"/>
    <w:pPr>
      <w:spacing w:after="0" w:line="240" w:lineRule="auto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071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719F"/>
  </w:style>
  <w:style w:type="paragraph" w:styleId="Pieddepage">
    <w:name w:val="footer"/>
    <w:basedOn w:val="Normal"/>
    <w:link w:val="PieddepageCar"/>
    <w:uiPriority w:val="99"/>
    <w:unhideWhenUsed/>
    <w:rsid w:val="000071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71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9</Pages>
  <Words>1607</Words>
  <Characters>8843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HERMAN</cp:lastModifiedBy>
  <cp:revision>6</cp:revision>
  <cp:lastPrinted>2024-03-21T12:34:00Z</cp:lastPrinted>
  <dcterms:created xsi:type="dcterms:W3CDTF">2024-02-02T11:00:00Z</dcterms:created>
  <dcterms:modified xsi:type="dcterms:W3CDTF">2025-08-28T08:44:00Z</dcterms:modified>
</cp:coreProperties>
</file>